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交易复盘（2026-10-27）</w:t>
      </w:r>
    </w:p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一、账户概况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项目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数值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总资产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464.27万元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总收益率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-7.15%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现金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94.78万元（20.4%）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累计交易笔数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43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累计交易费用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7562元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二、已实现盈亏归因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证券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已实现盈亏(元)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1884.0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000333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1645.0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盈利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601872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601918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-1450.0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002517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002396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-3783.0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600988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-4100.0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300750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-21758.0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510300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-57994.0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601318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-96738.0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601899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-175534.0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20"/>
              </w:rPr>
              <w:t>亏损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三、当前持仓浮动盈亏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证券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持仓(股)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成本价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现价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浮动盈亏(元)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浮动%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长江电力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38300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29.184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29.83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24756.0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+2.21%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美的集团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85.28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85.04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-1080.0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-0.28%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新集能源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9500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10.472631578947368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恺英网络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17.52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星网锐捷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6100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35.87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深信服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136.73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哈药股份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7.33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招商轮船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20.76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睿创微纳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177.58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药明康德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1300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158.081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158.08076923076922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康龙化成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1000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42.65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赤峰黄金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4000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43.56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+0.00%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宁德时代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4500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237.6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233.0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-20700.0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sz w:val="18"/>
              </w:rPr>
              <w:t>-1.94%</w:t>
            </w:r>
          </w:p>
        </w:tc>
      </w:tr>
    </w:tbl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24"/>
        </w:rPr>
        <w:t>四、复盘结论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最成功交易为600900（+1884元），坚持了预设的止盈/逻辑纪律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· 最差交易为601899（-175534元），需在后续复盘中检视买入依据是否充分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