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交易复盘（2026-09-28）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475.37万元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-4.93%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211.02万元（44.4%）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35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4971元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1884.0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000333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601872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601918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-1450.0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002517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002396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-3783.0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600988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601318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-7740.0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510300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-57994.0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-90370.0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中国平安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18200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56.12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52.4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-67704.0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-6.63%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31.41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29.42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-20497.0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-6.34%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27.885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28.55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6182.0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+2.38%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10.472631578947368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星网锐捷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深信服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哈药股份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招商轮船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睿创微纳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药明康德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158.08076923076922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康龙化成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赤峰黄金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最成功交易为600900（+1884元），坚持了预设的止盈/逻辑纪律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最差交易为601899（-90370元），需在后续复盘中检视买入依据是否充分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中国平安浮亏-6.6%已接近止损线，下一交易日重点跟踪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