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二、回测验证（2025-04-21 ~ 2026-09-07，338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回测采用离线行情缓存、决策日收盘生成信号、次日开盘成交，与线上逻辑对齐。重要前提：用“今天的财务数据”去回测过去会产生前视偏差——把基本面分数随机打乱后，策略收益从 +52.8% 掉到 +3.5%，说明大部分“超额”来自事后已知的好公司。因此下表以基本面统一为中性分（60分）的无偏对照为准。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-2.75%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-16.93%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-0.11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-14.63%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-12.54%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0.94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22%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结论：①固定止盈在震荡市无效（无偏口径下 -2.75%），改为移动止损后收益 +20.76%、最大回撤由 -16.93% 收窄到 -12.54%；②交易越频繁收益越低，费用与择时损耗是主要拖累；③宽基ETF底仓提供基准收益，个股负责超额。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当前候选池前3位：紫金矿业、中国平安、宁德时代。后续按三条原则滚动调整：①任何参数改动先用回测验证，并保留无偏对照；②以决策后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