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501.87万元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+0.37%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+0.54%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-0.17%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20.8%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1606元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9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-0.17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-0.10 万元（现价4.637，成本4.64）。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+0.30 万元（现价56.26，成本56.12）。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+1.56 万元（现价34.4，成本33.95）。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+0.28 万元（现价28.05，成本27.84）。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1606 元，占初始资金 0.032%。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为避免“用今天的财务数据去回测过去”的前视偏差，本团队做了两组检验：①把基本面分数随机打乱；②把基本面分数统一为中性60分。前者收益由 +52.8% 降至 +3.5%，说明原始结果中的超额主要来自事后已知的好公司，因此正式结论以中性口径的无偏回测为准。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-2.75%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-16.93%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-0.11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-14.63%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-12.54%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0.94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64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