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449.66万元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-10.07%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-9.77%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-0.30%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+2.59 万元（现价29.86，成本29.18）。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+0.10 万元（现价85.5，成本85.28）。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-0.95 万元（现价9.47，成本10.47）。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-0.97 万元（现价15.57，成本17.52）。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-6.76 万元（现价24.79，成本35.87）。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+0.42 万元（现价145.2，成本136.73）。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-0.92 万元（现价5.5，成本7.33）。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-0.19 万元（现价16.99，成本20.76）。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-2.98 万元（现价147.76，成本177.58）。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-1.57 万元（现价146.0，成本158.08）。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-0.45 万元（现价38.1，成本42.65）。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-2.82 万元（现价36.52，成本43.56）。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+0.18 万元（现价238.0，成本237.60）。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7562 元，占初始资金 0.151%。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