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472.86万元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-5.43%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-5.72%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+0.29%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-5.24 万元（现价53.24，成本56.12）。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+0.67 万元（现价30.22，成本30.05）。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+1.39 万元（现价29.38，成本27.89）。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+0.22 万元（现价10.7，成本10.47）。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-0.57 万元（现价16.37，成本17.52）。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-4.73 万元（现价28.11，成本35.87）。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+0.06 万元（现价137.9，成本136.73）。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-0.34 万元（现价6.65，成本7.33）。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-0.04 万元（现价20.0，成本20.76）。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-1.53 万元（现价162.31，成本177.58）。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-0.03 万元（现价157.85，成本158.08）。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-0.09 万元（现价41.8，成本42.65）。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-1.74 万元（现价39.2，成本43.56）。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+1.27 万元（现价298.38，成本286.80）。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