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交易复盘（2026-10-12）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一、账户概况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总资产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481.66万元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总收益率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-3.67%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现金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95.84万元（19.9%）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累计交易笔数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37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累计交易费用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5259元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二、已实现盈亏归因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证券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已实现盈亏(元)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1884.0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000333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1645.0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601872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601918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-1450.0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002517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-2100.0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002396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-3783.0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600988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-4100.0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601318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-7740.0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510300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-57994.0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601899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-90370.0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三、当前持仓浮动盈亏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持仓(股)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成本价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现价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浮动盈亏(元)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中国平安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18200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56.12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53.24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-52416.0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-5.13%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紫金矿业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38600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30.046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30.22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6704.0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+0.58%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长江电力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27.885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29.38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13901.0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+5.36%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新集能源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10.472631578947368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恺英网络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星网锐捷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6100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深信服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哈药股份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招商轮船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睿创微纳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药明康德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158.08076923076922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康龙化成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赤峰黄金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宁德时代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1100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286.8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298.38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12738.0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+4.04%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四、复盘结论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最成功交易为600900（+1884元），坚持了预设的止盈/逻辑纪律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最差交易为601899（-90370元），需在后续复盘中检视买入依据是否充分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现金占比低于20%下限，注意保留补仓能力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