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交易复盘（2026-10-22）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一、账户概况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466.42万元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-6.72%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201.70万元（43.2%）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累计交易笔数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42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累计交易费用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7295元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二、已实现盈亏归因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证券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已实现盈亏(元)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1884.0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000333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1645.0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601872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601918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-1450.0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002517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002396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-3783.0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600988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-4100.0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300750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-21758.0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510300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-57994.0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601318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-96738.0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601899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-175534.0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三、当前持仓浮动盈亏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持仓(股)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成本价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现价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浮动盈亏(元)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长江电力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29.184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29.82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24373.0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+2.18%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美的集团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85.28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85.29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45.0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+0.01%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新集能源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10.472631578947368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恺英网络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星网锐捷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深信服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哈药股份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招商轮船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睿创微纳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药明康德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158.081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158.08076923076922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康龙化成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赤峰黄金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四、复盘结论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最成功交易为600900（+1884元），坚持了预设的止盈/逻辑纪律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最差交易为601899（-175534元），需在后续复盘中检视买入依据是否充分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