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初始投资方案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课程：证券期货操作实验　项目：模拟证券投资大赛（同花顺模拟炒股）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一、选择哪些证券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根据候选股票池综合评分，初始组合拟配置：紫金矿业（601899，有色金属）、中国平安（601318，保险）、长江电力（600900，电力）、宁德时代（300750，新能源电池）、贵州茅台（600519，白酒）、招商银行（600036，银行），另预留现金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二、资金配置计划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计划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初始资金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500万元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单只证券目标仓位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24%（上限30%）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宽基ETF底仓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约20%—25%，分散个股风险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现金留存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不低于20%，应对波动与补仓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建仓节奏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分3批、约2周内完成初始建仓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三、选择原因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紫金矿业（601899）：综合评分78.0分。基本面：基本面优秀，具备中长期配置价值；技术面：趋势中性，观望。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中国平安（601318）：综合评分71.0分。基本面：基本面优秀，具备中长期配置价值；技术面：中期趋势向上，可关注/持有。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长江电力（600900）：综合评分70.0分。基本面：基本面优秀，具备中长期配置价值；技术面：中期趋势向上，可关注/持有。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四、仓位设置理由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任务书要求单只证券持仓不超过总资产30%。本方案将单只目标仓位设为24%，留出安全边际；同时保持20%以上现金，在市场出现急跌时可分批补仓，避免被动。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五、暂不投资的证券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其余候选（美的集团、沪深300ETF）暂不买入：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六、主要风险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1．系统性风险：指数大幅回调导致组合整体回撤；2．个股风险：业绩不及预期、行业政策变化；3．流动性风险：成交清淡造成冲击成本；4．操作风险：委托价格设置不当导致未成交。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七、风险控制方法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1．单只持仓≤30%；2．止盈线9%、止损线-8%，买入时即设定；3．现金≥20%；4．每两周至少1笔有效交易，避免频繁交易与刷单；5．每笔交易填写投资决策记录，收盘后复盘。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