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模拟交易委托指令单（2026-09-04）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510300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259900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1199698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综合评分53.5分（基本面60.0/技术面47.0）达标，目标仓位24%，买入后占比24.0%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35900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1197265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综合评分78.0分（基本面100/技术面56.0）达标，目标仓位24%，买入后占比23.9%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601318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58.24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20600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1199744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综合评分71.0分（基本面82.0/技术面60.0）达标，目标仓位24%，买入后占比24.0%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