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重点证券基本面分析：紫金矿业（601899）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所属行业：有色金属　信息来源：东方财富F10主要财务指标（经同花顺APP核对）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一、最新财务数据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报告期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营业收入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营收同比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归母净利润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净利同比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加权ROE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销售净利率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EPS(元)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2026-06-30（中报）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1941.78亿元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+15.78%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391.70亿元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+68.17%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19.60%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25.65%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1.473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二、这些数据说明了什么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加权ROE=19.60%（≥15%），盈利能力优秀，长期股东回报有保障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营收同比+15.78%，成长性较好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归母净利润同比+68.17%，利润端表现强劲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销售净利率=25.65%，产品竞争力强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近4期营收持续正增长，经营稳健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三、估值与行业情况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当前PE(TTM)=13.11，PB=4.59。估值处于行业历史区间中低位置；行业景气度与公司竞争地位详见课堂路演展示。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四、潜在风险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宏观与行业景气度波动风险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财务数据为历史披露数据，存在业绩变脸可能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