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模拟证券投资大赛·投资总结报告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课程：证券期货操作实验　平台：同花顺模拟炒股　周期：第2周至第14周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一、投资绩效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初始资金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500万元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期末总资产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499.11万元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-0.18%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同期沪深300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+0.36%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相对基准超额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-0.54%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现金占比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32.4%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交易费用合计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1462元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净值曲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12" w:lineRule="auto"/>
        <w:jc w:val="center"/>
      </w:pPr>
      <w:r>
        <w:rPr>
          <w:rFonts w:ascii="Times New Roman" w:hAnsi="Times New Roman" w:eastAsia="宋体"/>
          <w:b w:val="0"/>
          <w:sz w:val="18"/>
        </w:rPr>
        <w:t>图1：组合净值与沪深300净值对比（同起点归一）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19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益对比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12" w:lineRule="auto"/>
        <w:jc w:val="center"/>
      </w:pPr>
      <w:r>
        <w:rPr>
          <w:rFonts w:ascii="Times New Roman" w:hAnsi="Times New Roman" w:eastAsia="宋体"/>
          <w:b w:val="0"/>
          <w:sz w:val="18"/>
        </w:rPr>
        <w:t>图2：收益对比（同起点）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二、投资过程记录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项目期间共形成 8 条投资决策记录、8 只候选证券的跟踪分析，全部决策均包含基本面依据、技术面依据、市场依据、风险判断与AI使用情况，实现“指标→信号→判断→投资决策”完整证据链；每笔交易均可追溯到决策编号与规则校验结果。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三、盈亏归因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紫金矿业（601899）：已实现盈亏 +0.20 万元。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沪深300ETF（510300）：浮动盈亏 -0.44 万元（现价4.624，成本4.64）。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中国平安（601318）：浮动盈亏 -0.89 万元（现价55.7，成本56.12）。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紫金矿业（601899）：浮动盈亏 +0.20 万元（现价33.86，成本33.75）。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长江电力（600900）：浮动盈亏 +0.04 万元（现价27.87，成本27.84）。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交易费用累计 1462 元，占初始资金 0.029%。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四、策略验证与回测（重要）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为避免“用今天的财务数据去回测过去”的前视偏差，本团队做了两组检验：①把基本面分数随机打乱；②把基本面分数统一为中性60分。前者收益由 +52.8% 降至 +3.5%，说明原始结果中的超额主要来自事后已知的好公司，因此正式结论以中性口径的无偏回测为准。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离场规则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总收益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最大回撤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夏普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交易笔数</w:t>
            </w:r>
          </w:p>
        </w:tc>
      </w:tr>
      <w:tr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固定止盈+9%/止损-8%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-2.75%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-16.93%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-0.11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110</w:t>
            </w:r>
          </w:p>
        </w:tc>
      </w:tr>
      <w:tr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跌破20日均线离场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7.40%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-14.63%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0.4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359</w:t>
            </w:r>
          </w:p>
        </w:tc>
      </w:tr>
      <w:tr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移动止损（自最高价回撤12%）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20.76%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-12.54%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0.94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64</w:t>
            </w:r>
          </w:p>
        </w:tc>
      </w:tr>
    </w:tbl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据此，团队将“固定止盈+9%”改为“移动止损（自持仓最高价回撤12%）”，并把宽基ETF底仓目标权重提高到30%、单日最多建仓降到2只，以降低换手与费用损耗。该调整已写入《10_策略调整记录》。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五、策略反思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．收益不是唯一标准：决策依据、风险判断与复盘记录才是能力体现；2．风险控制优先：单只≤30%、现金≥20%、止损与移动止损纪律有效降低了回撤；3．AI辅助而非替代：数据与指标计算自动化后，人工核验数据来源与最终判断不可省略；4．持续改进：候选池评分滚动更新，剔除趋势走弱标的，并用决策后 T+5/T+10/T+20 的表现检验策略。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六、结论与展望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报告期内组合以宽基ETF为底仓、以评分前列个股贡献超额，严格执行仓位与止损纪律，整体回撤可控。后续将继续用回测与决策后验证双轮驱动策略迭代，并把每一次调整的依据、验证与结果完整留痕。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