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476.00万元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-4.80%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-0.61%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-5.15 万元（现价53.29，成本56.12）。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-0.99 万元（现价29.79，成本30.05）。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+0.61 万元（现价28.54，成本27.89）。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+0.78 万元（现价11.29，成本10.47）。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-0.75 万元（现价16.01，成本17.52）。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-1.99 万元（现价32.6，成本35.87）。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+0.03 万元（现价137.42，成本136.73）。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+0.04 万元（现价7.4，成本7.33）。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-0.03 万元（现价20.15，成本20.76）。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-0.42 万元（现价173.42，成本177.58）。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+1.20 万元（现价167.34，成本158.08）。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+0.23 万元（现价44.97，成本42.65）。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-1.60 万元（现价39.56，成本43.56）。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+0.47 万元（现价291.11，成本286.80）。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