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交易复盘（2026-09-30）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一、账户概况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478.51万元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-4.30%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95.84万元（20.0%）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累计交易笔数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37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累计交易费用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5259元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二、已实现盈亏归因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证券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已实现盈亏(元)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600900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1884.0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000333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1645.0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601872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601918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-1450.0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002517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-2100.0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002396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-3783.0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600988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-4100.0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601318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-7740.0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510300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-57994.0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601899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-90370.0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三、当前持仓浮动盈亏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证券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持仓(股)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成本价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现价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浮动盈亏(元)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中国平安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18200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56.12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53.29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-51506.0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-5.04%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紫金矿业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38600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30.046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29.79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-9894.0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-0.85%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长江电力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27.885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28.54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6089.0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+2.35%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新集能源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10.472631578947368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恺英网络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星网锐捷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深信服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哈药股份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招商轮船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睿创微纳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药明康德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158.081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158.08076923076922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康龙化成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42.65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42.65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赤峰黄金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43.56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43.56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宁德时代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1100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286.8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291.11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4741.0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+1.50%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四、复盘结论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最成功交易为600900（+1884元），坚持了预设的止盈/逻辑纪律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最差交易为601899（-90370元），需在后续复盘中检视买入依据是否充分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