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458.64万元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-8.27%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-8.71%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+0.44%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6489元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44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300750（300750）：已实现盈亏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-3.81 万元（现价29.06，成本30.05）。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+1.94 万元（现价29.69，成本29.18）。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+0.00 万元（现价85.28，成本85.28）。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+0.17 万元（现价10.65，成本10.47）。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-1.09 万元（现价15.33，成本17.52）。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-5.62 万元（现价26.65，成本35.87）。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-0.13 万元（现价134.2，成本136.73）。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-0.73 万元（现价5.86，成本7.33）。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-0.16 万元（现价17.58，成本20.76）。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-1.66 万元（现价160.95，成本177.58）。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-1.35 万元（现价147.66，成本158.08）。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-0.36 万元（现价39.09，成本42.65）。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-1.04 万元（现价40.97，成本43.56）。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6489 元，占初始资金 0.130%。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