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二、回测验证（2025-04-21 ~ 2026-09-07，338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回测采用离线行情缓存、决策日收盘生成信号、次日开盘成交，与线上逻辑对齐。重要前提：用“今天的财务数据”去回测过去会产生前视偏差——把基本面分数随机打乱后，策略收益从 +52.8% 掉到 +3.5%，说明大部分“超额”来自事后已知的好公司。因此下表以基本面统一为中性分（60分）的无偏对照为准。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22%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结论：①固定止盈在震荡市无效（无偏口径下 -2.75%），改为移动止损后收益 +20.76%、最大回撤由 -16.93% 收窄到 -12.54%；②交易越频繁收益越低，费用与择时损耗是主要拖累；③宽基ETF底仓提供基准收益，个股负责超额。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当前候选池前3位：紫金矿业、宁德时代、长江电力。后续按三条原则滚动调整：①任何参数改动先用回测验证，并保留无偏对照；②以决策后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