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交易复盘（2026-09-15）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486.81万元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-2.64%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80.26万元（16.5%）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26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3184元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-31358.0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4.641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4.55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-23560.0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-1.96%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56.12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54.13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-42188.0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-3.55%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33.927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32.04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-36410.0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-5.56%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27.885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28.5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5717.0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+2.20%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157.7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最差交易为601899（-31358元），需在后续复盘中检视买入依据是否充分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现金占比低于20%下限，注意保留补仓能力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