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499.07万元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-0.36%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+0.17%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报告期内未发生平仓，全部盈亏为浮动盈亏。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-0.44 万元（现价4.624，成本4.64）。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+0.00 万元（现价27.87，成本27.87）。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-0.89 万元（现价55.7，成本56.12）。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+0.40 万元（现价33.86，成本33.75）。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1000 元，占初始资金 0.020%。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