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交易复盘（2026-09-21）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484.71万元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-3.06%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96.66万元（19.9%）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34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4113元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-7740.0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-90370.0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4.608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-8544.0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-0.71%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53.98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-38948.0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-3.81%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31.41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31.3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-1133.0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-0.35%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1997.0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+0.77%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最差交易为601899（-90370元），需在后续复盘中检视买入依据是否充分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现金占比低于20%下限，注意保留补仓能力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