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策略调整记录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本记录由工作流在策略参数或市场状态变化时自动更新，每条调整都遵循“发现的问题 → 验证方式 → 调整内容 → 预期效果 → 可能风险”的证据链。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一、调整历程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时间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原策略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发现的问题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调整内容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预期效果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可能风险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初始建仓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候选池评分选股，单只≤30%，止盈9%/止损8%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—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建立初始组合：宽基ETF底仓 + 评分前列个股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分散风险、跟踪市场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市场急跌时底仓同样受损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运行中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技术面恶化（MACD死叉且技术分&lt;45）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提前于止盈/止损线离场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减少回撤、执行纪律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震荡市中可能被反复洗出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第一次策略升级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固定止盈+9%；单日最多建仓3只；ETF底仓约20%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回测发现固定止盈在震荡市被反复洗出；换手越高收益越低（12笔&gt;64笔&gt;110笔&gt;359笔）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改为移动止损（自持仓最高价回撤12%）替代固定止盈；ETF底仓目标权重提至30%；单日最多建仓降为2只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减少无效交易与手续费损耗，让盈利标的充分奔跑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趋势反转时回撤可能大于固定止盈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数据源加固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单一东方财富接口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东财接口偶发 502/超时，导致云端流水线 exit 1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增加腾讯备用数据源（只补缺口不覆盖东财口径）+ 缓存回退 + 收盘数据自愈重试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云端连续运行不再因单一数据源抖动中断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两套复权口径混用风险（已用数据溯源规则约束）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二、回测验证（2025-04-09 ~ 2026-09-11，350 个交易日）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回测采用离线行情缓存、决策日收盘生成信号、次日开盘成交，与线上逻辑对齐。重要前提：用“今天的财务数据”回测过去会产生前视偏差：打乱基本面分数后收益从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卖出胜率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46%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移动止损：自最高价回撤12%离场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对照：等权买入持有观察池12只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0%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结论：①固定止盈在震荡市被反复洗出（无偏口径 15.45%），改为移动止损（自最高价回撤12%）后收益 33.40%、最大回撤 -11.58%，交易笔数由 106 笔降到 61 笔——换手越低，费用与择时损耗越小。②宽基ETF底仓提供基准收益，个股负责超额。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三、当前生效参数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取值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单只持仓上限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任务书硬性要求，规则引擎拦截超限买入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现金下限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保留补仓与抗回撤能力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单只目标仓位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24%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留出安全边际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宽基ETF底仓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分散个股风险、贴近基准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自最高价回撤12%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替代固定止盈，回测收益最优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保护本金，始终生效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开仓评分门槛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60分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综合评分（基本面50%+技术面50%）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单日最多建仓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2只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降低换手与冲击成本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交易频率下限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每两周1笔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任务书要求，避免长期空仓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四、后续观察与调整原则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当前候选池前3位：宁德时代、紫金矿业、中国平安。后续按三条原则滚动调整：①任何参数改动先用回测验证，并保留无偏对照；②以决策后 T+5/T+10/T+20 的超额收益检验策略是否真的有效；③调整记录与AI使用记录同步更新，保证证据链完整。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