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交易复盘（2026-09-22）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485.75万元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-2.85%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96.66万元（19.9%）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34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4113元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-7740.0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4.613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-7249.0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-0.60%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54.46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-30212.0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-2.96%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31.41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31.41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28.02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1253.0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+0.48%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最差交易为601899（-90370元），需在后续复盘中检视买入依据是否充分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现金占比低于20%下限，注意保留补仓能力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