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490.39万元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-1.92%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-0.83%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-1.09%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21.8%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2564元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17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-1.82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-1.61 万元（现价4.579，成本4.64）。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-2.73 万元（现价54.83，成本56.12）。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-4.38 万元（现价32.26，成本33.93）。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+0.53 万元（现价28.45，成本27.89）。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-0.14 万元（现价10.4，成本10.47）。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+0.19 万元（现价17.71，成本17.52）。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2564 元，占初始资金 0.051%。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为避免“用今天的财务数据去回测过去”的前视偏差，本团队做了两组检验：①把基本面分数随机打乱；②把基本面分数统一为中性60分。前者收益由 +52.8% 降至 +3.5%，说明原始结果中的超额主要来自事后已知的好公司，因此正式结论以中性口径的无偏回测为准。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-2.75%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-16.93%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-14.63%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-12.54%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0.94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