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模拟证券投资大赛·投资总结报告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课程：证券期货操作实验　平台：同花顺模拟炒股　周期：第2周至第14周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一、投资绩效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初始资金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500万元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期末总资产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483.95万元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-3.21%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同期沪深300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-1.93%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相对基准超额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-1.28%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现金占比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27.6%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交易费用合计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4020元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净值曲线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图1：组合净值与沪深300净值对比（同起点归一）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收益对比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312" w:lineRule="auto"/>
        <w:jc w:val="center"/>
      </w:pPr>
      <w:r>
        <w:rPr>
          <w:rFonts w:ascii="Times New Roman" w:hAnsi="Times New Roman" w:eastAsia="宋体"/>
          <w:b w:val="0"/>
          <w:sz w:val="18"/>
        </w:rPr>
        <w:t>图2：收益对比（同起点）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二、投资过程记录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项目期间共形成 35 条投资决策记录、8 只候选证券的跟踪分析，全部决策均包含基本面依据、技术面依据、市场依据、风险判断与AI使用情况，实现“指标→信号→判断→投资决策”完整证据链；每笔交易均可追溯到决策编号与规则校验结果。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三、盈亏归因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601899（601899）：已实现盈亏 -9.04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000333（000333）：已实现盈亏 +0.16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长江电力（600900）：已实现盈亏 +0.19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星网锐捷（002396）：已实现盈亏 -0.38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恺英网络（002517）：已实现盈亏 -0.21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招商轮船（601872）：已实现盈亏 -0.03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新集能源（601918）：已实现盈亏 -0.14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赤峰黄金（600988）：已实现盈亏 -0.41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中国平安（601318）：已实现盈亏 -0.77 万元。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沪深300ETF（510300）：浮动盈亏 -2.82 万元（现价4.532，成本4.64）。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中国平安（601318）：浮动盈亏 -5.04 万元（现价53.35，成本56.12）。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长江电力（600900）：浮动盈亏 +0.53 万元（现价28.46，成本27.89）。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新集能源（601918）：浮动盈亏 -0.24 万元（现价10.22，成本10.47）。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恺英网络（002517）：浮动盈亏 -0.49 万元（现价16.54，成本17.52）。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星网锐捷（002396）：浮动盈亏 +1.42 万元（现价38.2，成本35.87）。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深信服（300454）：浮动盈亏 +0.04 万元（现价137.47，成本136.73）。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哈药股份（600664）：浮动盈亏 +0.04 万元（现价7.42，成本7.33）。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招商轮船（601872）：浮动盈亏 +0.05 万元（现价21.85，成本20.76）。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睿创微纳（688002）：浮动盈亏 +0.74 万元（现价185.0，成本177.58）。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药明康德（603259）：浮动盈亏 +0.28 万元（现价160.49，成本157.70）。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康龙化成（300759）：浮动盈亏 +0.11 万元（现价43.75，成本42.65）。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赤峰黄金（600988）：浮动盈亏 -0.05 万元（现价43.44，成本43.56）。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交易费用累计 4020 元，占初始资金 0.080%。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四、策略验证与回测（重要）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为避免“用今天的财务数据去回测过去”的前视偏差，本团队做了两组检验：①把基本面分数随机打乱；②把基本面分数统一为中性60分。用“今天的财务数据”回测过去会产生前视偏差：打乱基本面分数后收益从 51.92% 掉到 8.69%，而基本面统一为中性60分的口径为 9.88%，因此正式结论以中性口径的无偏对照为准。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离场规则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总收益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最大回撤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夏普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交易笔数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固定止盈+9%/止损-8%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15.45%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-10.71%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0.85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106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跌破20日均线离场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5.32%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-15.74%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0.31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389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移动止损（自最高价回撤12%）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33.40%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-11.58%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1.34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</w:t>
            </w:r>
          </w:p>
        </w:tc>
      </w:tr>
      <w:tr>
        <w:tc>
          <w:tcPr>
            <w:tcW w:type="dxa" w:w="30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对照：等权持有观察池12只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20.95%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-8.35%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1.16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12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据此，团队将“固定止盈+9%”改为“移动止损（自持仓最高价回撤12%）”，并把宽基ETF底仓目标权重提高到30%、单日最多建仓降到2只，以降低换手与费用损耗。该调整已写入《10_策略调整记录》。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五、策略反思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1．收益不是唯一标准：决策依据、风险判断与复盘记录才是能力体现；2．风险控制优先：单只≤30%、现金≥20%、止损与移动止损纪律有效降低了回撤；3．AI辅助而非替代：数据与指标计算自动化后，人工核验数据来源与最终判断不可省略；4．持续改进：候选池评分滚动更新，剔除趋势走弱标的，并用决策后 T+5/T+10/T+20 的表现检验策略。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六、结论与展望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报告期内组合以宽基ETF为底仓、以评分前列个股贡献超额，严格执行仓位与止损纪律，整体回撤可控。后续将继续用回测与决策后验证双轮驱动策略迭代，并把每一次调整的依据、验证与结果完整留痕。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