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 w:line="312" w:lineRule="auto"/>
        <w:jc w:val="left"/>
      </w:pPr>
      <w:r>
        <w:rPr>
          <w:rFonts w:ascii="Times New Roman" w:hAnsi="Times New Roman" w:eastAsia="宋体"/>
          <w:b/>
          <w:sz w:val="32"/>
        </w:rPr>
        <w:t>模拟交易委托指令单（2026-10-12）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请在同花顺模拟炒股APP中按下列指令核对后下单；成交后无需手工登记，auto模式下账本自动记账，manual模式下将成交价回填 data/trades.csv。</w:t>
      </w:r>
    </w:p>
    <w:p>
      <w:pPr>
        <w:spacing w:after="120" w:line="312" w:lineRule="auto"/>
        <w:jc w:val="left"/>
      </w:pPr>
      <w:r>
        <w:rPr>
          <w:rFonts w:ascii="Times New Roman" w:hAnsi="Times New Roman" w:eastAsia="宋体"/>
          <w:b w:val="0"/>
          <w:sz w:val="24"/>
        </w:rPr>
        <w:t>本日无操作信号，不进行交易。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