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交易复盘（2026-10-12）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481.66万元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-3.67%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95.84万元（19.9%）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37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53.24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-52416.0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-5.13%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6704.0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+0.58%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13901.0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+5.36%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298.38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12738.0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+4.04%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