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488.79万元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-2.24%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-1.49%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-0.75%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12.0%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3456元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31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-5.17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-2.36 万元（现价4.55，成本4.64）。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-5.53 万元（现价53.51，成本56.12）。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-2.16 万元（现价32.17，成本33.93）。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+0.53 万元（现价28.46，成本27.89）。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+0.03 万元（现价10.5，成本10.47）。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-0.36 万元（现价16.81，成本17.52）。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+1.81 万元（现价38.83，成本35.87）。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-0.16 万元（现价133.58，成本136.73）。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+0.02 万元（现价7.36，成本7.33）。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-0.05 万元（现价19.86，成本20.76）。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+0.85 万元（现价186.09，成本177.58）。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+0.00 万元（现价157.71，成本157.70）。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+0.05 万元（现价43.15，成本42.65）。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+1.69 万元（现价45.44，成本43.56）。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3456 元，占初始资金 0.069%。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