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456.01万元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-8.80%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-9.59%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+0.79%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6489元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44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300750（300750）：已实现盈亏 -2.18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-4.54 万元（现价28.87，成本30.05）。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+1.48 万元（现价29.57，成本29.18）。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-0.64 万元（现价83.86，成本85.28）。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-0.40 万元（现价10.05，成本10.47）。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-1.25 万元（现价15.01，成本17.52）。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-5.54 万元（现价26.78，成本35.87）。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-0.09 万元（现价134.9，成本136.73）。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-0.68 万元（现价5.97，成本7.33）。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-0.16 万元（现价17.61，成本20.76）。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-1.54 万元（现价162.16，成本177.58）。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-1.39 万元（现价147.35，成本158.08）。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-0.39 万元（现价38.7，成本42.65）。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-1.32 万元（现价40.25，成本43.56）。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6489 元，占初始资金 0.130%。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