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478.95万元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-4.21%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-5.07%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+0.86%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40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-5.99 万元（现价52.83，成本56.12）。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+2.91 万元（现价30.8，成本30.05）。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+1.03 万元（现价28.99，成本27.89）。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+1.05 万元（现价11.58，成本10.47）。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-0.65 万元（现价16.21，成本17.52）。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-2.83 万元（现价31.23，成本35.87）。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+0.11 万元（现价138.96，成本136.73）。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+0.03 万元（现价7.39，成本7.33）。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+0.07 万元（现价22.07，成本20.76）。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-0.69 万元（现价170.72，成本177.58）。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-0.04 万元（现价157.8，成本158.08）。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+0.05 万元（现价43.11，成本42.65）。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-0.87 万元（现价41.38，成本43.56）。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+1.20 万元（现价297.75，成本286.80）。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5259 元，占初始资金 0.105%。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