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471.01万元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-5.80%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-5.23%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-0.57%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20.3%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5259元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40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中国平安（601318）：已实现盈亏 -0.77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-6.28 万元（现价52.67，成本56.12）。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-2.61 万元（现价29.37，成本30.05）。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+0.94 万元（现价28.9，成本27.89）。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+1.00 万元（现价11.53，成本10.47）。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-0.92 万元（现价15.69，成本17.52）。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-2.52 万元（现价31.74，成本35.87）。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-0.44 万元（现价127.9，成本136.73）。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-0.04 万元（现价7.24，成本7.33）。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+0.06 万元（现价22.03，成本20.76）。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-0.58 万元（现价171.82，成本177.58）。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+0.51 万元（现价162.0，成本158.08）。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+0.11 万元（现价43.75，成本42.65）。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-1.80 万元（现价39.07，成本43.56）。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宁德时代（300750）：浮动盈亏 -0.01 万元（现价286.75，成本286.80）。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5259 元，占初始资金 0.105%。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