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499.57万元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42.57万元（8.5%）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-5437.0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-0.45%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-12720.0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-1.07%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34.11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6421.0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+0.54%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3789.0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85.861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1695.0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+0.39%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最成功交易为601899（+2002元），坚持了预设的止盈/逻辑纪律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