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交易复盘（2026-09-24）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479.88万元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-4.02%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96.66万元（20.1%）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4.515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-32621.0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53.25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-52234.0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-5.11%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-14420.0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-4.46%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28.36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4415.0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+1.70%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