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499.50万元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-0.10%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+0.01%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-0.11%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8.5%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1760元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12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+0.20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-0.62 万元（现价4.617，成本4.64）。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-1.27 万元（现价55.52，成本56.12）。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+0.64 万元（现价34.11，成本33.93）。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+0.38 万元（现价28.09，成本27.89）。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美的集团（000333）：浮动盈亏 +0.17 万元（现价86.2，成本85.86）。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+0.00 万元（现价10.48，成本10.48）。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1760 元，占初始资金 0.035%。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为避免“用今天的财务数据去回测过去”的前视偏差，本团队做了两组检验：①把基本面分数随机打乱；②把基本面分数统一为中性60分。前者收益由 +52.8% 降至 +3.5%，说明原始结果中的超额主要来自事后已知的好公司，因此正式结论以中性口径的无偏回测为准。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-2.75%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-16.93%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-0.11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-14.63%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-12.54%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0.94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