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480.46万元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-3.91%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-2.39%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-1.52%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-3.26 万元（现价4.515，成本4.64）。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-5.22 万元（现价53.25，成本56.12）。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-1.44 万元（现价30.01，成本31.41）。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+0.44 万元（现价28.36，成本27.89）。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+0.64 万元（现价11.15，成本10.47）。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-0.67 万元（现价16.17，成本17.52）。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+0.48 万元（现价36.65，成本35.87）。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+0.26 万元（现价141.99，成本136.73）。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+0.41 万元（现价8.14，成本7.33）。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+0.01 万元（现价20.93，成本20.76）。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+0.13 万元（现价178.85，成本177.58）。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+0.56 万元（现价162.4，成本158.08）。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+0.09 万元（现价43.5，成本42.65）。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-1.31 万元（现价40.28，成本43.56）。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4113 元，占初始资金 0.082%。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