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交易复盘（2026-09-17）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482.54万元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-3.49%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58.50万元（12.1%）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28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3456元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-51704.0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4.532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-28220.0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-2.35%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53.35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-58724.0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-4.94%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12300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-37226.0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-8.92%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5345.0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+2.06%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157.7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157.7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最差交易为601899（-51704元），需在后续复盘中检视买入依据是否充分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紫金矿业浮亏-8.9%已接近止损线，下一交易日重点跟踪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现金占比低于20%下限，注意保留补仓能力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