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交易复盘（2026-09-16）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484.90万元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-3.02%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58.50万元（12.1%）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28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3456元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-51704.0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-23560.0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-1.96%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53.51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-55332.0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-4.65%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32.17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-21605.0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-5.18%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28.46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5345.0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+2.06%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最差交易为601899（-51704元），需在后续复盘中检视买入依据是否充分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