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459.40万元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-8.12%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-8.21%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+0.09%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28.9%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6393元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43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-9.04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601318（601318）：已实现盈亏 -9.67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510300（510300）：已实现盈亏 -5.80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300750（300750）：已实现盈亏 -2.18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-0.99 万元（现价29.79，成本30.05）。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+1.36 万元（现价29.54，成本29.18）。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+0.12 万元（现价10.6，成本10.47）。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-1.13 万元（现价15.25，成本17.52）。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-6.26 万元（现价25.61，成本35.87）。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-0.59 万元（现价125.01，成本136.73）。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-0.69 万元（现价5.95，成本7.33）。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-0.15 万元（现价17.85，成本20.76）。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-1.98 万元（现价157.79，成本177.58）。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-1.51 万元（现价146.5，成本158.08）。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-0.41 万元（现价38.5，成本42.65）。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-0.87 万元（现价41.38，成本43.56）。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6393 元，占初始资金 0.128%。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