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策略调整记录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本记录由工作流在策略参数或市场状态变化时自动更新，每条调整都遵循“发现的问题 → 验证方式 → 调整内容 → 预期效果 → 可能风险”的证据链。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一、调整历程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时间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原策略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发现的问题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调整内容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预期效果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可能风险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初始建仓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候选池评分选股，单只≤30%，止盈9%/止损8%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—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建立初始组合：宽基ETF底仓 + 评分前列个股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分散风险、跟踪市场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市场急跌时底仓同样受损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运行中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技术面恶化（MACD死叉且技术分&lt;45）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提前于止盈/止损线离场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减少回撤、执行纪律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震荡市中可能被反复洗出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第一次策略升级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固定止盈+9%；单日最多建仓3只；ETF底仓约20%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回测发现固定止盈在震荡市被反复洗出；换手越高收益越低（12笔&gt;64笔&gt;110笔&gt;359笔）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改为移动止损（自持仓最高价回撤12%）替代固定止盈；ETF底仓目标权重提至30%；单日最多建仓降为2只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减少无效交易与手续费损耗，让盈利标的充分奔跑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趋势反转时回撤可能大于固定止盈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数据源加固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单一东方财富接口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东财接口偶发 502/超时，导致云端流水线 exit 1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增加腾讯备用数据源（只补缺口不覆盖东财口径）+ 缓存回退 + 收盘数据自愈重试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云端连续运行不再因单一数据源抖动中断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两套复权口径混用风险（已用数据溯源规则约束）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二、回测验证（2025-04-09 ~ 2026-09-11，350 个交易日）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回测采用离线行情缓存、决策日收盘生成信号、次日开盘成交，与线上逻辑对齐。重要前提：用“今天的财务数据”回测过去会产生前视偏差：打乱基本面分数后收益从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卖出胜率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46%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32%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移动止损：自最高价回撤12%离场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对照：等权买入持有观察池12只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0%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结论：①固定止盈在震荡市被反复洗出（无偏口径 15.45%），改为移动止损（自最高价回撤12%）后收益 33.40%、最大回撤 -11.58%，交易笔数由 106 笔降到 61 笔——换手越低，费用与择时损耗越小。②宽基ETF底仓提供基准收益，个股负责超额。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三、当前生效参数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取值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单只持仓上限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任务书硬性要求，规则引擎拦截超限买入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现金下限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保留补仓与抗回撤能力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单只目标仓位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24%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留出安全边际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宽基ETF底仓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分散个股风险、贴近基准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自最高价回撤12%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替代固定止盈，回测收益最优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保护本金，始终生效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开仓评分门槛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60分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综合评分（基本面50%+技术面50%）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单日最多建仓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2只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降低换手与冲击成本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交易频率下限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每两周1笔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任务书要求，避免长期空仓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四、后续观察与调整原则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当前候选池前3位：宁德时代、紫金矿业、立讯精密。后续按三条原则滚动调整：①任何参数改动先用回测验证，并保留无偏对照；②以决策后 T+5/T+10/T+20 的超额收益检验策略是否真的有效；③调整记录与AI使用记录同步更新，保证证据链完整。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