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交易复盘（2026-10-21）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一、账户概况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468.79万元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-6.24%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94.24万元（20.1%）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累计交易笔数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41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累计交易费用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6489元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二、已实现盈亏归因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证券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已实现盈亏(元)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1884.0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000333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1645.0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601872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601918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-1450.0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002517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002396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-3783.0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600988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-4100.0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300750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-21758.0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510300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-57994.0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601899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-90370.0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601318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-96738.0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三、当前持仓浮动盈亏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持仓(股)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成本价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现价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浮动盈亏(元)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紫金矿业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38600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30.046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28.87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-45406.0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-3.92%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长江电力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29.184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29.57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14798.0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+1.32%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美的集团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85.28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83.86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-6390.0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-1.67%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新集能源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10.472631578947368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恺英网络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星网锐捷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深信服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哈药股份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招商轮船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睿创微纳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药明康德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158.081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158.08076923076922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康龙化成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赤峰黄金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四、复盘结论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最成功交易为600900（+1884元），坚持了预设的止盈/逻辑纪律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最差交易为601318（-96738元），需在后续复盘中检视买入依据是否充分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