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499.07万元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+0.24%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-0.43%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报告期内未发生平仓，全部盈亏为浮动盈亏。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-0.44 万元（现价4.624，成本4.64）。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+0.00 万元（现价27.87，成本27.87）。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-0.89 万元（现价55.7，成本56.12）。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+0.40 万元（现价33.86，成本33.75）。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1000 元，占初始资金 0.020%。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