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471.64万元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-5.67%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-4.29%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-1.38%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20.3%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5259元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40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中国平安（601318）：已实现盈亏 -0.77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-6.59 万元（现价52.5，成本56.12）。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-2.26 万元（现价29.46，成本30.05）。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+0.46 万元（现价28.38，成本27.89）。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+0.84 万元（现价11.36，成本10.47）。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-0.83 万元（现价15.87，成本17.52）。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-1.84 万元（现价32.86，成本35.87）。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+0.20 万元（现价140.7，成本136.73）。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-0.10 万元（现价7.14，成本7.33）。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-0.04 万元（现价19.89，成本20.76）。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-0.10 万元（现价176.56，成本177.58）。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+0.34 万元（现价160.66，成本158.08）。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+0.03 万元（现价42.98，成本42.65）。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-2.05 万元（现价38.44，成本43.56）。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宁德时代（300750）：浮动盈亏 +0.00 万元（现价286.8，成本286.80）。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5259 元，占初始资金 0.105%。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