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交易复盘（2026-09-29）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475.72万元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-4.86%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95.84万元（20.1%）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37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5259元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证券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已实现盈亏(元)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1884.0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000333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1645.0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601872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601918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-1450.0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002517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002396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-3783.0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600988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601318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-7740.0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510300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-57994.0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601899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-90370.0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中国平安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18200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56.12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52.57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-64610.0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-6.33%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38600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30.046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29.55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-19158.0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-1.65%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27.885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28.45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5252.0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+2.03%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新集能源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10.472631578947368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恺英网络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星网锐捷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深信服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哈药股份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招商轮船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睿创微纳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药明康德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158.08076923076922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康龙化成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赤峰黄金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宁德时代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286.8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286.8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最成功交易为600900（+1884元），坚持了预设的止盈/逻辑纪律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最差交易为601899（-90370元），需在后续复盘中检视买入依据是否充分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