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484.39万元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-3.12%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-1.93%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-1.19%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12.1%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3456元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31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-5.17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-2.82 万元（现价4.532，成本4.64）。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-5.87 万元（现价53.35，成本56.12）。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-3.72 万元（现价30.9，成本33.93）。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+0.53 万元（现价28.46，成本27.89）。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-0.24 万元（现价10.22，成本10.47）。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-0.49 万元（现价16.54，成本17.52）。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+1.42 万元（现价38.2，成本35.87）。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+0.04 万元（现价137.47，成本136.73）。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+0.04 万元（现价7.42，成本7.33）。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+0.05 万元（现价21.85，成本20.76）。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+0.74 万元（现价185.0，成本177.58）。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+0.28 万元（现价160.49，成本157.70）。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+0.11 万元（现价43.75，成本42.65）。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-0.11 万元（现价43.44，成本43.56）。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3456 元，占初始资金 0.069%。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