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442.83万元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-11.43%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-10.21%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-1.22%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21.4%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46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601899（601899）：已实现盈亏 -17.55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宁德时代（300750）：已实现盈亏 -2.18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+0.83 万元（现价29.4，成本29.18）。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+0.28 万元（现价85.91，成本85.28）。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-0.82 万元（现价9.61，成本10.47）。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-1.19 万元（现价15.14，成本17.52）。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-6.68 万元（现价24.92，成本35.87）。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+0.31 万元（现价143.0，成本136.73）。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-0.94 万元（现价5.45，成本7.33）。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-0.18 万元（现价17.09，成本20.76）。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-3.51 万元（现价142.5，成本177.58）。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-2.04 万元（现价142.4，成本158.08）。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-0.30 万元（现价39.6，成本42.65）。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-3.10 万元（现价35.81，成本43.56）。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-3.81 万元（现价229.14，成本237.60）。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7562 元，占初始资金 0.151%。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