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模拟证券投资大赛·投资总结报告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课程：证券期货操作实验　平台：同花顺模拟炒股　周期：第2周至第14周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一、投资绩效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初始资金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期末总资产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465.89万元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-6.82%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同期沪深300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-7.26%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相对基准超额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+0.44%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现金占比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40.6%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交易费用合计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5958元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净值曲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图1：组合净值与沪深300净值对比（同起点归一）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19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收益对比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9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图2：收益对比（同起点）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二、投资过程记录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项目期间共形成 41 条投资决策记录、8 只候选证券的跟踪分析，全部决策均包含基本面依据、技术面依据、市场依据、风险判断与AI使用情况，实现“指标→信号→判断→投资决策”完整证据链；每笔交易均可追溯到决策编号与规则校验结果。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三、盈亏归因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紫金矿业（601899）：已实现盈亏 -9.04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000333（000333）：已实现盈亏 +0.16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长江电力（600900）：已实现盈亏 +0.19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星网锐捷（002396）：已实现盈亏 -0.38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恺英网络（002517）：已实现盈亏 -0.21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招商轮船（601872）：已实现盈亏 -0.03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新集能源（601918）：已实现盈亏 -0.14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赤峰黄金（600988）：已实现盈亏 -0.41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601318（601318）：已实现盈亏 -9.67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510300（510300）：已实现盈亏 -5.80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紫金矿业（601899）：浮动盈亏 -0.26 万元（现价29.98，成本30.05）。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长江电力（600900）：浮动盈亏 +1.46 万元（现价29.45，成本27.89）。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新集能源（601918）：浮动盈亏 +0.04 万元（现价10.51，成本10.47）。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恺英网络（002517）：浮动盈亏 -0.83 万元（现价15.85，成本17.52）。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星网锐捷（002396）：浮动盈亏 -4.83 万元（现价27.95，成本35.87）。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深信服（300454）：浮动盈亏 -0.06 万元（现价135.5，成本136.73）。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哈药股份（600664）：浮动盈亏 -0.58 万元（现价6.16，成本7.33）。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招商轮船（601872）：浮动盈亏 +0.04 万元（现价21.48，成本20.76）。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睿创微纳（688002）：浮动盈亏 -0.41 万元（现价173.5，成本177.58）。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药明康德（603259）：浮动盈亏 -0.51 万元（现价154.18，成本158.08）。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康龙化成（300759）：浮动盈亏 -0.26 万元（现价40.0，成本42.65）。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赤峰黄金（600988）：浮动盈亏 -1.82 万元（现价39.0，成本43.56）。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宁德时代（300750）：浮动盈亏 -0.73 万元（现价280.12，成本286.80）。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交易费用累计 5958 元，占初始资金 0.119%。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四、策略验证与回测（重要）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为避免“用今天的财务数据去回测过去”的前视偏差，本团队做了两组检验：①把基本面分数随机打乱；②把基本面分数统一为中性60分。用“今天的财务数据”回测过去会产生前视偏差：打乱基本面分数后收益从 51.92% 掉到 8.69%，而基本面统一为中性60分的口径为 9.88%，因此正式结论以中性口径的无偏对照为准。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离场规则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总收益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最大回撤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夏普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交易笔数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固定止盈+9%/止损-8%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15.45%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-10.71%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0.85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106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跌破20日均线离场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5.32%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-15.74%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0.31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389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移动止损（自最高价回撤12%）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33.40%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-11.58%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1.34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对照：等权持有观察池12只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20.95%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-8.35%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1.16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12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据此，团队将“固定止盈+9%”改为“移动止损（自持仓最高价回撤12%）”，并把宽基ETF底仓目标权重提高到30%、单日最多建仓降到2只，以降低换手与费用损耗。该调整已写入《10_策略调整记录》。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五、策略反思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．收益不是唯一标准：决策依据、风险判断与复盘记录才是能力体现；2．风险控制优先：单只≤30%、现金≥20%、止损与移动止损纪律有效降低了回撤；3．AI辅助而非替代：数据与指标计算自动化后，人工核验数据来源与最终判断不可省略；4．持续改进：候选池评分滚动更新，剔除趋势走弱标的，并用决策后 T+5/T+10/T+20 的表现检验策略。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六、结论与展望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报告期内组合以宽基ETF为底仓、以评分前列个股贡献超额，严格执行仓位与止损纪律，整体回撤可控。后续将继续用回测与决策后验证双轮驱动策略迭代，并把每一次调整的依据、验证与结果完整留痕。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