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策略调整记录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本记录由工作流在策略参数或市场状态变化时自动更新，每条调整都遵循“发现的问题 → 验证方式 → 调整内容 → 预期效果 → 可能风险”的证据链。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一、调整历程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时间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原策略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发现的问题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预期效果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可能风险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初始建仓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候选池评分选股，单只≤30%，止盈9%/止损8%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建立初始组合：宽基ETF底仓 + 评分前列个股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分散风险、跟踪市场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市场急跌时底仓同样受损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运行中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技术面恶化（MACD死叉且技术分&lt;45）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提前于止盈/止损线离场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减少回撤、执行纪律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震荡市中可能被反复洗出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第一次策略升级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固定止盈+9%；单日最多建仓3只；ETF底仓约20%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回测发现固定止盈在震荡市被反复洗出；换手越高收益越低（12笔&gt;64笔&gt;110笔&gt;359笔）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改为移动止损（自持仓最高价回撤12%）替代固定止盈；ETF底仓目标权重提至30%；单日最多建仓降为2只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减少无效交易与手续费损耗，让盈利标的充分奔跑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趋势反转时回撤可能大于固定止盈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数据源加固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单一东方财富接口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东财接口偶发 502/超时，导致云端流水线 exit 1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增加腾讯备用数据源（只补缺口不覆盖东财口径）+ 缓存回退 + 收盘数据自愈重试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云端连续运行不再因单一数据源抖动中断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两套复权口径混用风险（已用数据溯源规则约束）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二、回测验证（2025-04-21 ~ 2026-09-07，338 个交易日）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回测采用离线行情缓存、决策日收盘生成信号、次日开盘成交，与线上逻辑对齐。重要前提：用“今天的财务数据”去回测过去会产生前视偏差——把基本面分数随机打乱后，策略收益从 +52.8% 掉到 +3.5%，说明大部分“超额”来自事后已知的好公司。因此下表以基本面统一为中性分（60分）的无偏对照为准。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卖出胜率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-2.75%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-16.93%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-0.11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7.40%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-14.63%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移动止损：自最高价回撤12%离场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-12.54%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0.94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22%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结论：①固定止盈在震荡市无效（无偏口径下 -2.75%），改为移动止损后收益 +20.76%、最大回撤由 -16.93% 收窄到 -12.54%；②交易越频繁收益越低，费用与择时损耗是主要拖累；③宽基ETF底仓提供基准收益，个股负责超额。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三、当前生效参数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取值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单只持仓上限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任务书硬性要求，规则引擎拦截超限买入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现金下限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保留补仓与抗回撤能力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单只目标仓位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24%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留出安全边际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宽基ETF底仓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分散个股风险、贴近基准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自最高价回撤12%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替代固定止盈，回测收益最优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保护本金，始终生效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开仓评分门槛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60分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综合评分（基本面50%+技术面50%）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单日最多建仓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2只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降低换手与冲击成本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交易频率下限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每两周1笔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任务书要求，避免长期空仓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四、后续观察与调整原则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当前候选池前3位：紫金矿业、中国平安、长江电力。后续按三条原则滚动调整：①任何参数改动先用回测验证，并保留无偏对照；②以决策后 T+5/T+10/T+20 的超额收益检验策略是否真的有效；③调整记录与AI使用记录同步更新，保证证据链完整。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