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模拟交易委托指令单（2026-10-23）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300750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237.60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1069200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综合评分76.5分（基本面94.0/技术面59.0）达标，目标仓位24%，买入后占比23.0%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