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交易复盘（2026-10-23）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一、账户概况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465.14万元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-6.97%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94.78万元（20.4%）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累计交易笔数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43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累计交易费用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7562元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二、已实现盈亏归因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证券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已实现盈亏(元)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600900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1884.0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000333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1645.0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601872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601918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-1450.0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002517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-2100.0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002396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-3783.0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600988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-4100.0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300750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-21758.0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510300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-57994.0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601318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-96738.0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601899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-175534.0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三、当前持仓浮动盈亏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证券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持仓(股)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成本价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现价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浮动盈亏(元)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长江电力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29.184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29.45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10202.0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+0.91%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美的集团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85.28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85.59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1395.0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+0.36%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新集能源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10.473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10.472631578947368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恺英网络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17.52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17.52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星网锐捷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35.87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35.87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深信服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136.73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136.73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哈药股份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7.33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7.33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招商轮船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睿创微纳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177.58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177.58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药明康德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158.081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158.08076923076922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康龙化成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42.65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42.65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赤峰黄金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43.56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43.56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宁德时代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237.6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237.6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四、复盘结论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最成功交易为600900（+1884元），坚持了预设的止盈/逻辑纪律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最差交易为601899（-175534元），需在后续复盘中检视买入依据是否充分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