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交易复盘（2026-09-11）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490.34万元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-1.93%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106.83万元（21.8%）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2564元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-18152.0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4.579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-16052.0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-1.34%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54.83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-27348.0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-2.30%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26300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32.26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-43830.0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-4.91%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28.45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5252.0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+2.03%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最差交易为601899（-18152元），需在后续复盘中检视买入依据是否充分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