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478.95万元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-4.21%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-4.98%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+0.77%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40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-5.99 万元（现价52.83，成本56.12）。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+2.91 万元（现价30.8，成本30.05）。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+1.03 万元（现价28.99，成本27.89）。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+1.05 万元（现价11.58，成本10.47）。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-0.65 万元（现价16.21，成本17.52）。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-2.83 万元（现价31.23，成本35.87）。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+0.11 万元（现价138.96，成本136.73）。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+0.03 万元（现价7.39，成本7.33）。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+0.07 万元（现价22.07，成本20.76）。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-0.69 万元（现价170.72，成本177.58）。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-0.04 万元（现价157.8，成本158.08）。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+0.05 万元（现价43.11，成本42.65）。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-0.87 万元（现价41.38，成本43.56）。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+1.20 万元（现价297.75，成本286.80）。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5259 元，占初始资金 0.105%。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