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交易复盘（2026-09-10）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499.50万元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-0.10%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42.57万元（8.5%）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1760元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2002.0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4.617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-6214.0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-0.52%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55.52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-12720.0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-1.07%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33.927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34.11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6421.0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+0.54%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28.09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3789.0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+0.73%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美的集团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85.861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86.2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1695.0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+0.39%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最成功交易为601899（+2002元），坚持了预设的止盈/逻辑纪律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现金占比低于20%下限，注意保留补仓能力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